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319" w:rsidRDefault="00A852D7">
      <w:pPr>
        <w:pStyle w:val="Title"/>
      </w:pPr>
      <w:bookmarkStart w:id="0" w:name="_GoBack"/>
      <w:bookmarkEnd w:id="0"/>
      <w:r>
        <w:t>HRA                             PUBLIC HOUSING</w:t>
      </w:r>
    </w:p>
    <w:p w:rsidR="00A82319" w:rsidRPr="00CA27BB" w:rsidRDefault="00A82319">
      <w:pPr>
        <w:pStyle w:val="Subtitle"/>
        <w:rPr>
          <w:b/>
          <w:sz w:val="28"/>
          <w:szCs w:val="28"/>
        </w:rPr>
      </w:pPr>
    </w:p>
    <w:p w:rsidR="00A82319" w:rsidRDefault="00992CA2">
      <w:pPr>
        <w:pStyle w:val="Heading1"/>
        <w:rPr>
          <w:color w:val="00B050"/>
        </w:rPr>
      </w:pPr>
      <w:r w:rsidRPr="00992CA2">
        <w:rPr>
          <w:b w:val="0"/>
          <w:noProof/>
          <w:color w:val="00B050"/>
          <w:sz w:val="28"/>
          <w:szCs w:val="28"/>
          <w:lang w:eastAsia="en-U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>
                <wp:simplePos x="0" y="0"/>
                <wp:positionH relativeFrom="margin">
                  <wp:align>left</wp:align>
                </wp:positionH>
                <wp:positionV relativeFrom="paragraph">
                  <wp:posOffset>30480</wp:posOffset>
                </wp:positionV>
                <wp:extent cx="1760855" cy="6910070"/>
                <wp:effectExtent l="0" t="0" r="10795" b="5080"/>
                <wp:wrapSquare wrapText="bothSides"/>
                <wp:docPr id="1" name="Text Box 1" descr="Text box sideba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855" cy="6910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Sidebar layout table"/>
                            </w:tblPr>
                            <w:tblGrid>
                              <w:gridCol w:w="3518"/>
                              <w:gridCol w:w="3518"/>
                            </w:tblGrid>
                            <w:tr w:rsidR="00CA27BB" w:rsidTr="00992CA2">
                              <w:trPr>
                                <w:trHeight w:hRule="exact" w:val="12078"/>
                              </w:trPr>
                              <w:tc>
                                <w:tcPr>
                                  <w:tcW w:w="3518" w:type="dxa"/>
                                  <w:shd w:val="clear" w:color="auto" w:fill="0070C0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CA27BB" w:rsidRPr="001C153E" w:rsidRDefault="00AA5110" w:rsidP="00992CA2">
                                  <w:pPr>
                                    <w:pStyle w:val="BlockHeading"/>
                                    <w:shd w:val="clear" w:color="auto" w:fill="0070C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PUBLIC HOUSING CHANGES LIVES</w:t>
                                  </w:r>
                                </w:p>
                                <w:p w:rsidR="00992CA2" w:rsidRDefault="00992CA2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992CA2" w:rsidRDefault="00400299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5110ECA0" wp14:editId="41A40915">
                                        <wp:extent cx="1416571" cy="1116120"/>
                                        <wp:effectExtent l="0" t="0" r="0" b="8255"/>
                                        <wp:docPr id="21" name="Picture 2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"/>
                                                <pic:cNvPicPr/>
                                              </pic:nvPicPr>
                                              <pic:blipFill>
                                                <a:blip r:embed="rId9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468633" cy="11571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992CA2" w:rsidRDefault="00992CA2" w:rsidP="00992CA2">
                                  <w:pPr>
                                    <w:pStyle w:val="BlockText"/>
                                    <w:shd w:val="clear" w:color="auto" w:fill="0070C0"/>
                                    <w:ind w:left="0"/>
                                  </w:pPr>
                                </w:p>
                                <w:p w:rsidR="002F6249" w:rsidRDefault="002F6249" w:rsidP="002F6249">
                                  <w:pPr>
                                    <w:pStyle w:val="Heading1"/>
                                    <w:rPr>
                                      <w:color w:val="00B050"/>
                                    </w:rPr>
                                  </w:pPr>
                                  <w:r>
                                    <w:rPr>
                                      <w:color w:val="00B050"/>
                                    </w:rPr>
                                    <w:t xml:space="preserve">       HRA MISSION</w:t>
                                  </w:r>
                                </w:p>
                                <w:p w:rsidR="002F6249" w:rsidRDefault="002F6249" w:rsidP="002F6249">
                                  <w:pPr>
                                    <w:pStyle w:val="NoSpacing"/>
                                  </w:pPr>
                                  <w:r>
                                    <w:t xml:space="preserve"> The mission of the HRA is to</w:t>
                                  </w:r>
                                </w:p>
                                <w:p w:rsidR="002F6249" w:rsidRDefault="002F6249" w:rsidP="002F6249">
                                  <w:pPr>
                                    <w:pStyle w:val="NoSpacing"/>
                                  </w:pPr>
                                  <w:r>
                                    <w:t>Change the lives of families in</w:t>
                                  </w:r>
                                </w:p>
                                <w:p w:rsidR="002F6249" w:rsidRDefault="002F6249" w:rsidP="002F6249">
                                  <w:pPr>
                                    <w:pStyle w:val="NoSpacing"/>
                                  </w:pPr>
                                  <w:r>
                                    <w:t xml:space="preserve">HRA </w:t>
                                  </w:r>
                                  <w:proofErr w:type="spellStart"/>
                                  <w:r>
                                    <w:t>Juridiction</w:t>
                                  </w:r>
                                  <w:proofErr w:type="spellEnd"/>
                                  <w:r>
                                    <w:t xml:space="preserve">. </w:t>
                                  </w:r>
                                </w:p>
                                <w:p w:rsidR="002F6249" w:rsidRPr="002F6249" w:rsidRDefault="002F6249" w:rsidP="002F6249">
                                  <w:pPr>
                                    <w:pStyle w:val="NoSpacing"/>
                                  </w:pPr>
                                </w:p>
                                <w:p w:rsidR="00F97F9E" w:rsidRDefault="00F97F9E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F9E" w:rsidRDefault="00F97F9E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F9E" w:rsidRDefault="00F97F9E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F9E" w:rsidRDefault="00F97F9E" w:rsidP="009856E2">
                                  <w:pPr>
                                    <w:pStyle w:val="NoSpacing"/>
                                    <w:jc w:val="center"/>
                                  </w:pPr>
                                </w:p>
                                <w:p w:rsidR="00F97F9E" w:rsidRDefault="00F97F9E" w:rsidP="00980463">
                                  <w:pPr>
                                    <w:pStyle w:val="NoSpacing"/>
                                  </w:pPr>
                                  <w:r>
                                    <w:t>HRA OFFICE</w:t>
                                  </w:r>
                                </w:p>
                                <w:p w:rsidR="00F97F9E" w:rsidRDefault="00F97F9E" w:rsidP="00980463">
                                  <w:pPr>
                                    <w:pStyle w:val="NoSpacing"/>
                                  </w:pPr>
                                  <w:r>
                                    <w:t>PHONE</w:t>
                                  </w:r>
                                </w:p>
                                <w:p w:rsidR="00F97F9E" w:rsidRDefault="00F97F9E" w:rsidP="00980463">
                                  <w:pPr>
                                    <w:pStyle w:val="NoSpacing"/>
                                  </w:pPr>
                                  <w:r>
                                    <w:t>EMAIL</w:t>
                                  </w:r>
                                </w:p>
                                <w:p w:rsidR="00F97F9E" w:rsidRDefault="00F97F9E" w:rsidP="00980463">
                                  <w:pPr>
                                    <w:pStyle w:val="NoSpacing"/>
                                  </w:pPr>
                                  <w:r>
                                    <w:t>WEBSITE</w:t>
                                  </w:r>
                                </w:p>
                                <w:p w:rsidR="002F6249" w:rsidRDefault="002F6249" w:rsidP="00980463">
                                  <w:pPr>
                                    <w:pStyle w:val="NoSpacing"/>
                                  </w:pPr>
                                </w:p>
                                <w:p w:rsidR="002F6249" w:rsidRDefault="002F6249" w:rsidP="00980463">
                                  <w:pPr>
                                    <w:pStyle w:val="NoSpacing"/>
                                  </w:pPr>
                                </w:p>
                                <w:p w:rsidR="002F6249" w:rsidRDefault="002F6249" w:rsidP="00980463">
                                  <w:pPr>
                                    <w:pStyle w:val="NoSpacing"/>
                                  </w:pPr>
                                </w:p>
                                <w:p w:rsidR="00F97F9E" w:rsidRDefault="00F97F9E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F97F9E" w:rsidRPr="00CA27BB" w:rsidRDefault="00980463" w:rsidP="00992CA2">
                                  <w:pPr>
                                    <w:pStyle w:val="BlockText"/>
                                    <w:shd w:val="clear" w:color="auto" w:fill="0070C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            </w:t>
                                  </w:r>
                                </w:p>
                                <w:p w:rsidR="00CA27BB" w:rsidRPr="00956FA8" w:rsidRDefault="00CA27BB" w:rsidP="00992CA2">
                                  <w:pPr>
                                    <w:pStyle w:val="BlockText"/>
                                    <w:shd w:val="clear" w:color="auto" w:fill="0070C0"/>
                                  </w:pPr>
                                </w:p>
                                <w:p w:rsidR="00CA27BB" w:rsidRPr="000B4E99" w:rsidRDefault="00CA27BB" w:rsidP="00992CA2">
                                  <w:pPr>
                                    <w:pStyle w:val="BlockText"/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pStyle w:val="BlockText"/>
                                    <w:shd w:val="clear" w:color="auto" w:fill="0070C0"/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  <w:shd w:val="clear" w:color="auto" w:fill="3E762A" w:themeFill="accent1" w:themeFillShade="BF"/>
                                </w:tcPr>
                                <w:p w:rsidR="00CA27BB" w:rsidRPr="001C153E" w:rsidRDefault="00CA27BB" w:rsidP="00992CA2">
                                  <w:pPr>
                                    <w:pStyle w:val="BlockHeading"/>
                                    <w:shd w:val="clear" w:color="auto" w:fill="0070C0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CA27BB" w:rsidTr="00CA27BB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</w:tc>
                            </w:tr>
                            <w:tr w:rsidR="00CA27BB" w:rsidTr="00CA27BB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CA27BB" w:rsidRPr="00CA27BB" w:rsidRDefault="00CA27BB" w:rsidP="00992CA2">
                                  <w:pPr>
                                    <w:shd w:val="clear" w:color="auto" w:fill="0070C0"/>
                                    <w:rPr>
                                      <w:color w:val="C0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8" w:type="dxa"/>
                                </w:tcPr>
                                <w:p w:rsidR="00CA27BB" w:rsidRDefault="00CA27BB" w:rsidP="00992CA2">
                                  <w:pPr>
                                    <w:shd w:val="clear" w:color="auto" w:fill="0070C0"/>
                                  </w:pPr>
                                </w:p>
                              </w:tc>
                            </w:tr>
                          </w:tbl>
                          <w:p w:rsidR="00A82319" w:rsidRDefault="00A82319" w:rsidP="00992CA2">
                            <w:pPr>
                              <w:pStyle w:val="Caption"/>
                              <w:shd w:val="clear" w:color="auto" w:fill="0070C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alt="Text box sidebar" style="position:absolute;margin-left:0;margin-top:2.4pt;width:138.65pt;height:544.1pt;z-index:251659264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Sidebar layout table"/>
                      </w:tblPr>
                      <w:tblGrid>
                        <w:gridCol w:w="3518"/>
                        <w:gridCol w:w="3518"/>
                      </w:tblGrid>
                      <w:tr w:rsidR="00CA27BB" w:rsidTr="00992CA2">
                        <w:trPr>
                          <w:trHeight w:hRule="exact" w:val="12078"/>
                        </w:trPr>
                        <w:tc>
                          <w:tcPr>
                            <w:tcW w:w="3518" w:type="dxa"/>
                            <w:shd w:val="clear" w:color="auto" w:fill="0070C0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CA27BB" w:rsidRPr="001C153E" w:rsidRDefault="00AA5110" w:rsidP="00992CA2">
                            <w:pPr>
                              <w:pStyle w:val="BlockHeading"/>
                              <w:shd w:val="clear" w:color="auto" w:fill="0070C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PUBLIC HOUSING CHANGES LIVES</w:t>
                            </w:r>
                          </w:p>
                          <w:p w:rsidR="00992CA2" w:rsidRDefault="00992CA2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92CA2" w:rsidRDefault="00400299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5110ECA0" wp14:editId="41A40915">
                                  <wp:extent cx="1416571" cy="1116120"/>
                                  <wp:effectExtent l="0" t="0" r="0" b="8255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633" cy="11571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2CA2" w:rsidRDefault="00992CA2" w:rsidP="00992CA2">
                            <w:pPr>
                              <w:pStyle w:val="BlockText"/>
                              <w:shd w:val="clear" w:color="auto" w:fill="0070C0"/>
                              <w:ind w:left="0"/>
                            </w:pPr>
                          </w:p>
                          <w:p w:rsidR="002F6249" w:rsidRDefault="002F6249" w:rsidP="002F6249">
                            <w:pPr>
                              <w:pStyle w:val="Heading1"/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 xml:space="preserve">       HRA MISSION</w:t>
                            </w:r>
                          </w:p>
                          <w:p w:rsidR="002F6249" w:rsidRDefault="002F6249" w:rsidP="002F6249">
                            <w:pPr>
                              <w:pStyle w:val="NoSpacing"/>
                            </w:pPr>
                            <w:r>
                              <w:t xml:space="preserve"> The mission of the HRA is to</w:t>
                            </w:r>
                          </w:p>
                          <w:p w:rsidR="002F6249" w:rsidRDefault="002F6249" w:rsidP="002F6249">
                            <w:pPr>
                              <w:pStyle w:val="NoSpacing"/>
                            </w:pPr>
                            <w:r>
                              <w:t>Change the lives of families in</w:t>
                            </w:r>
                          </w:p>
                          <w:p w:rsidR="002F6249" w:rsidRDefault="002F6249" w:rsidP="002F6249">
                            <w:pPr>
                              <w:pStyle w:val="NoSpacing"/>
                            </w:pPr>
                            <w:r>
                              <w:t xml:space="preserve">HRA </w:t>
                            </w:r>
                            <w:proofErr w:type="spellStart"/>
                            <w:r>
                              <w:t>Juridiction</w:t>
                            </w:r>
                            <w:proofErr w:type="spellEnd"/>
                            <w:r>
                              <w:t xml:space="preserve">. </w:t>
                            </w:r>
                          </w:p>
                          <w:p w:rsidR="002F6249" w:rsidRPr="002F6249" w:rsidRDefault="002F6249" w:rsidP="002F6249">
                            <w:pPr>
                              <w:pStyle w:val="NoSpacing"/>
                            </w:pPr>
                          </w:p>
                          <w:p w:rsidR="00F97F9E" w:rsidRDefault="00F97F9E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7F9E" w:rsidRDefault="00F97F9E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7F9E" w:rsidRDefault="00F97F9E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7F9E" w:rsidRDefault="00F97F9E" w:rsidP="009856E2">
                            <w:pPr>
                              <w:pStyle w:val="NoSpacing"/>
                              <w:jc w:val="center"/>
                            </w:pPr>
                          </w:p>
                          <w:p w:rsidR="00F97F9E" w:rsidRDefault="00F97F9E" w:rsidP="00980463">
                            <w:pPr>
                              <w:pStyle w:val="NoSpacing"/>
                            </w:pPr>
                            <w:r>
                              <w:t>HRA OFFICE</w:t>
                            </w:r>
                          </w:p>
                          <w:p w:rsidR="00F97F9E" w:rsidRDefault="00F97F9E" w:rsidP="00980463">
                            <w:pPr>
                              <w:pStyle w:val="NoSpacing"/>
                            </w:pPr>
                            <w:r>
                              <w:t>PHONE</w:t>
                            </w:r>
                          </w:p>
                          <w:p w:rsidR="00F97F9E" w:rsidRDefault="00F97F9E" w:rsidP="00980463">
                            <w:pPr>
                              <w:pStyle w:val="NoSpacing"/>
                            </w:pPr>
                            <w:r>
                              <w:t>EMAIL</w:t>
                            </w:r>
                          </w:p>
                          <w:p w:rsidR="00F97F9E" w:rsidRDefault="00F97F9E" w:rsidP="00980463">
                            <w:pPr>
                              <w:pStyle w:val="NoSpacing"/>
                            </w:pPr>
                            <w:r>
                              <w:t>WEBSITE</w:t>
                            </w:r>
                          </w:p>
                          <w:p w:rsidR="002F6249" w:rsidRDefault="002F6249" w:rsidP="00980463">
                            <w:pPr>
                              <w:pStyle w:val="NoSpacing"/>
                            </w:pPr>
                          </w:p>
                          <w:p w:rsidR="002F6249" w:rsidRDefault="002F6249" w:rsidP="00980463">
                            <w:pPr>
                              <w:pStyle w:val="NoSpacing"/>
                            </w:pPr>
                          </w:p>
                          <w:p w:rsidR="002F6249" w:rsidRDefault="002F6249" w:rsidP="00980463">
                            <w:pPr>
                              <w:pStyle w:val="NoSpacing"/>
                            </w:pPr>
                          </w:p>
                          <w:p w:rsidR="00F97F9E" w:rsidRDefault="00F97F9E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97F9E" w:rsidRPr="00CA27BB" w:rsidRDefault="00980463" w:rsidP="00992CA2">
                            <w:pPr>
                              <w:pStyle w:val="BlockText"/>
                              <w:shd w:val="clear" w:color="auto" w:fill="0070C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</w:p>
                          <w:p w:rsidR="00CA27BB" w:rsidRPr="00956FA8" w:rsidRDefault="00CA27BB" w:rsidP="00992CA2">
                            <w:pPr>
                              <w:pStyle w:val="BlockText"/>
                              <w:shd w:val="clear" w:color="auto" w:fill="0070C0"/>
                            </w:pPr>
                          </w:p>
                          <w:p w:rsidR="00CA27BB" w:rsidRPr="000B4E99" w:rsidRDefault="00CA27BB" w:rsidP="00992CA2">
                            <w:pPr>
                              <w:pStyle w:val="BlockText"/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pStyle w:val="BlockText"/>
                              <w:shd w:val="clear" w:color="auto" w:fill="0070C0"/>
                            </w:pPr>
                          </w:p>
                        </w:tc>
                        <w:tc>
                          <w:tcPr>
                            <w:tcW w:w="3518" w:type="dxa"/>
                            <w:shd w:val="clear" w:color="auto" w:fill="3E762A" w:themeFill="accent1" w:themeFillShade="BF"/>
                          </w:tcPr>
                          <w:p w:rsidR="00CA27BB" w:rsidRPr="001C153E" w:rsidRDefault="00CA27BB" w:rsidP="00992CA2">
                            <w:pPr>
                              <w:pStyle w:val="BlockHeading"/>
                              <w:shd w:val="clear" w:color="auto" w:fill="0070C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CA27BB" w:rsidTr="00CA27BB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</w:tc>
                      </w:tr>
                      <w:tr w:rsidR="00CA27BB" w:rsidTr="00CA27BB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CA27BB" w:rsidRPr="00CA27BB" w:rsidRDefault="00CA27BB" w:rsidP="00992CA2">
                            <w:pPr>
                              <w:shd w:val="clear" w:color="auto" w:fill="0070C0"/>
                              <w:rPr>
                                <w:color w:val="C00000"/>
                              </w:rPr>
                            </w:pPr>
                          </w:p>
                        </w:tc>
                        <w:tc>
                          <w:tcPr>
                            <w:tcW w:w="3518" w:type="dxa"/>
                          </w:tcPr>
                          <w:p w:rsidR="00CA27BB" w:rsidRDefault="00CA27BB" w:rsidP="00992CA2">
                            <w:pPr>
                              <w:shd w:val="clear" w:color="auto" w:fill="0070C0"/>
                            </w:pPr>
                          </w:p>
                        </w:tc>
                      </w:tr>
                    </w:tbl>
                    <w:p w:rsidR="00A82319" w:rsidRDefault="00A82319" w:rsidP="00992CA2">
                      <w:pPr>
                        <w:pStyle w:val="Caption"/>
                        <w:shd w:val="clear" w:color="auto" w:fill="0070C0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52D7">
        <w:rPr>
          <w:color w:val="00B050"/>
        </w:rPr>
        <w:t>PRogram overview</w:t>
      </w:r>
    </w:p>
    <w:p w:rsidR="008725C4" w:rsidRPr="00956FA8" w:rsidRDefault="00A852D7" w:rsidP="008725C4">
      <w:pPr>
        <w:rPr>
          <w:rFonts w:cstheme="majorHAnsi"/>
        </w:rPr>
      </w:pPr>
      <w:r>
        <w:rPr>
          <w:rFonts w:cstheme="majorHAnsi"/>
        </w:rPr>
        <w:t xml:space="preserve">Public Housing was established to provide decent and safe rental housing for eligible low-income families, the elderly and person with disabilities. </w:t>
      </w:r>
    </w:p>
    <w:p w:rsidR="004E675B" w:rsidRDefault="00F24397" w:rsidP="008725C4">
      <w:pPr>
        <w:rPr>
          <w:rFonts w:cstheme="majorHAnsi"/>
        </w:rPr>
      </w:pPr>
      <w:r>
        <w:rPr>
          <w:rFonts w:cstheme="majorHAnsi"/>
        </w:rPr>
        <w:t xml:space="preserve">Residents pay </w:t>
      </w:r>
      <w:r w:rsidR="008725C4" w:rsidRPr="00956FA8">
        <w:rPr>
          <w:rFonts w:cstheme="majorHAnsi"/>
        </w:rPr>
        <w:t xml:space="preserve">30% of their income towards their rent </w:t>
      </w:r>
      <w:r>
        <w:rPr>
          <w:rFonts w:cstheme="majorHAnsi"/>
        </w:rPr>
        <w:t>and the HRA pays the difference through federally obligated dollars</w:t>
      </w:r>
      <w:r w:rsidR="00400299">
        <w:rPr>
          <w:rFonts w:cstheme="majorHAnsi"/>
        </w:rPr>
        <w:t>.</w:t>
      </w:r>
    </w:p>
    <w:p w:rsidR="004A2A9B" w:rsidRDefault="00F24397" w:rsidP="004A2A9B">
      <w:pPr>
        <w:pStyle w:val="Heading3"/>
        <w:rPr>
          <w:color w:val="0070C0"/>
        </w:rPr>
      </w:pPr>
      <w:r>
        <w:rPr>
          <w:color w:val="0070C0"/>
        </w:rPr>
        <w:t>Snapshot of HRA Public Housing Program</w:t>
      </w:r>
    </w:p>
    <w:p w:rsidR="00F24397" w:rsidRDefault="00F24397" w:rsidP="00F24397">
      <w:pPr>
        <w:pStyle w:val="NoSpacing"/>
      </w:pPr>
      <w:r>
        <w:t>_________Units of Public Housing</w:t>
      </w:r>
    </w:p>
    <w:p w:rsidR="00F24397" w:rsidRDefault="00F24397" w:rsidP="00F24397">
      <w:pPr>
        <w:pStyle w:val="NoSpacing"/>
      </w:pPr>
      <w:r>
        <w:t>_________Scattered Site</w:t>
      </w:r>
    </w:p>
    <w:p w:rsidR="00F24397" w:rsidRDefault="00F24397" w:rsidP="00F24397">
      <w:pPr>
        <w:pStyle w:val="NoSpacing"/>
      </w:pPr>
      <w:r>
        <w:t>_________Multi-family</w:t>
      </w:r>
    </w:p>
    <w:p w:rsidR="00F24397" w:rsidRDefault="00F24397" w:rsidP="00F24397">
      <w:pPr>
        <w:pStyle w:val="NoSpacing"/>
      </w:pPr>
      <w:r>
        <w:t xml:space="preserve">Average Household Income: </w:t>
      </w:r>
    </w:p>
    <w:p w:rsidR="00F24397" w:rsidRDefault="00F24397" w:rsidP="00F24397">
      <w:pPr>
        <w:pStyle w:val="NoSpacing"/>
      </w:pPr>
      <w:r>
        <w:t>Average Tenant Rent:</w:t>
      </w:r>
    </w:p>
    <w:p w:rsidR="00F24397" w:rsidRDefault="00F24397" w:rsidP="00F24397">
      <w:pPr>
        <w:pStyle w:val="NoSpacing"/>
      </w:pPr>
      <w:r>
        <w:t>Turnover Rate:</w:t>
      </w:r>
    </w:p>
    <w:p w:rsidR="00F24397" w:rsidRDefault="00F24397" w:rsidP="00F24397">
      <w:pPr>
        <w:pStyle w:val="NoSpacing"/>
      </w:pPr>
    </w:p>
    <w:p w:rsidR="00F24397" w:rsidRDefault="00414993" w:rsidP="00F24397">
      <w:pPr>
        <w:pStyle w:val="Heading2"/>
        <w:shd w:val="clear" w:color="auto" w:fill="FFFFFF"/>
        <w:spacing w:before="0" w:after="0"/>
        <w:textAlignment w:val="baseline"/>
        <w:rPr>
          <w:rFonts w:asciiTheme="minorHAnsi" w:hAnsiTheme="minorHAnsi"/>
          <w:b/>
          <w:bCs/>
          <w:color w:val="0070C0"/>
          <w:sz w:val="20"/>
        </w:rPr>
      </w:pPr>
      <w:r w:rsidRPr="00751253">
        <w:rPr>
          <w:rFonts w:asciiTheme="minorHAnsi" w:hAnsiTheme="minorHAnsi"/>
          <w:b/>
          <w:bCs/>
          <w:color w:val="0070C0"/>
          <w:sz w:val="20"/>
        </w:rPr>
        <w:t>HRA provides efficient and effective housing services</w:t>
      </w:r>
    </w:p>
    <w:p w:rsidR="00414993" w:rsidRPr="00F24397" w:rsidRDefault="00414993" w:rsidP="00F24397">
      <w:pPr>
        <w:pStyle w:val="Heading2"/>
        <w:shd w:val="clear" w:color="auto" w:fill="FFFFFF"/>
        <w:spacing w:before="0" w:after="0"/>
        <w:textAlignment w:val="baseline"/>
        <w:rPr>
          <w:rFonts w:asciiTheme="minorHAnsi" w:hAnsiTheme="minorHAnsi"/>
          <w:color w:val="0070C0"/>
          <w:sz w:val="20"/>
        </w:rPr>
      </w:pPr>
      <w:r w:rsidRPr="00751253">
        <w:rPr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>HRA has earned the </w:t>
      </w:r>
      <w:r w:rsidRPr="00751253">
        <w:rPr>
          <w:rStyle w:val="ff-bold-condensed"/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>highest ranking possible</w:t>
      </w:r>
      <w:r w:rsidRPr="00751253">
        <w:rPr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> from the U.S. Department of Housing and Urban Developme</w:t>
      </w:r>
      <w:r w:rsidR="00933526">
        <w:rPr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 xml:space="preserve">nt (HUD) </w:t>
      </w:r>
      <w:r w:rsidR="00EF64C9">
        <w:rPr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>for calendar year 2016</w:t>
      </w:r>
      <w:r w:rsidRPr="00751253">
        <w:rPr>
          <w:rFonts w:asciiTheme="minorHAnsi" w:hAnsiTheme="minorHAnsi"/>
          <w:color w:val="252525"/>
          <w:sz w:val="20"/>
          <w:bdr w:val="none" w:sz="0" w:space="0" w:color="auto" w:frame="1"/>
          <w:shd w:val="clear" w:color="auto" w:fill="FFFFFF"/>
        </w:rPr>
        <w:t>.</w:t>
      </w:r>
      <w:r w:rsidR="00933526">
        <w:rPr>
          <w:noProof/>
          <w:color w:val="2525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</w:t>
      </w:r>
      <w:r w:rsidR="00751253">
        <w:rPr>
          <w:color w:val="252525"/>
          <w:sz w:val="20"/>
          <w:bdr w:val="none" w:sz="0" w:space="0" w:color="auto" w:frame="1"/>
          <w:shd w:val="clear" w:color="auto" w:fill="FFFFFF"/>
        </w:rPr>
        <w:t xml:space="preserve">                              </w:t>
      </w:r>
      <w:r w:rsidR="00EF64C9">
        <w:rPr>
          <w:color w:val="252525"/>
          <w:sz w:val="20"/>
          <w:bdr w:val="none" w:sz="0" w:space="0" w:color="auto" w:frame="1"/>
          <w:shd w:val="clear" w:color="auto" w:fill="FFFFFF"/>
        </w:rPr>
        <w:t xml:space="preserve">                                                                           </w:t>
      </w:r>
      <w:r w:rsidR="00751253">
        <w:rPr>
          <w:color w:val="252525"/>
          <w:sz w:val="20"/>
          <w:bdr w:val="none" w:sz="0" w:space="0" w:color="auto" w:frame="1"/>
          <w:shd w:val="clear" w:color="auto" w:fill="FFFFFF"/>
        </w:rPr>
        <w:t xml:space="preserve">        </w:t>
      </w:r>
    </w:p>
    <w:p w:rsidR="00A82319" w:rsidRPr="00992CA2" w:rsidRDefault="00CA27BB">
      <w:pPr>
        <w:pStyle w:val="Heading1"/>
        <w:rPr>
          <w:color w:val="00B050"/>
        </w:rPr>
      </w:pPr>
      <w:r w:rsidRPr="00992CA2">
        <w:rPr>
          <w:color w:val="00B050"/>
        </w:rPr>
        <w:t>FUNDING</w:t>
      </w:r>
    </w:p>
    <w:p w:rsidR="007B287F" w:rsidRDefault="00F24397" w:rsidP="007B287F">
      <w:pPr>
        <w:rPr>
          <w:noProof/>
        </w:rPr>
      </w:pPr>
      <w:r>
        <w:rPr>
          <w:noProof/>
        </w:rPr>
        <w:t xml:space="preserve">Funding for Public Housing is </w:t>
      </w:r>
      <w:r w:rsidR="007B287F">
        <w:rPr>
          <w:noProof/>
        </w:rPr>
        <w:t xml:space="preserve">through Congressional </w:t>
      </w:r>
      <w:r>
        <w:rPr>
          <w:noProof/>
        </w:rPr>
        <w:t xml:space="preserve">approriations.  The HRA recieves Operating Subsidy and Capital Funds. </w:t>
      </w:r>
    </w:p>
    <w:p w:rsidR="007B287F" w:rsidRPr="00751253" w:rsidRDefault="00F24397" w:rsidP="007B287F">
      <w:pPr>
        <w:rPr>
          <w:b/>
          <w:noProof/>
          <w:color w:val="0070C0"/>
        </w:rPr>
      </w:pPr>
      <w:r>
        <w:rPr>
          <w:b/>
          <w:noProof/>
          <w:color w:val="0070C0"/>
        </w:rPr>
        <w:t>Operating Subsidy</w:t>
      </w:r>
    </w:p>
    <w:p w:rsidR="00AD0D40" w:rsidRPr="00980463" w:rsidRDefault="00F24397" w:rsidP="00980463">
      <w:pPr>
        <w:autoSpaceDE w:val="0"/>
        <w:autoSpaceDN w:val="0"/>
        <w:adjustRightInd w:val="0"/>
        <w:spacing w:after="0" w:line="240" w:lineRule="auto"/>
        <w:rPr>
          <w:rFonts w:cs="UtopiaStd-Regular"/>
          <w:kern w:val="0"/>
        </w:rPr>
      </w:pPr>
      <w:r w:rsidRPr="00400299">
        <w:rPr>
          <w:noProof/>
        </w:rPr>
        <w:t>Operating subsidy is the funding to bridge the gap between the tenant rental revenue and operating expenses. Each year, the HRA must submit a calcualtion to HUD which determines the Operating Subsidy</w:t>
      </w:r>
      <w:r w:rsidR="00400299">
        <w:rPr>
          <w:noProof/>
        </w:rPr>
        <w:t>.</w:t>
      </w:r>
      <w:r w:rsidRPr="00400299">
        <w:rPr>
          <w:noProof/>
        </w:rPr>
        <w:t xml:space="preserve"> Since 2003, the HRA has received a pro-rated amount of our operating subsidy</w:t>
      </w:r>
      <w:r w:rsidR="0017097A">
        <w:rPr>
          <w:noProof/>
        </w:rPr>
        <w:t>.</w:t>
      </w:r>
      <w:r w:rsidRPr="00400299">
        <w:rPr>
          <w:noProof/>
        </w:rPr>
        <w:t xml:space="preserve">  </w:t>
      </w:r>
      <w:r w:rsidR="00400299" w:rsidRPr="00400299">
        <w:rPr>
          <w:rFonts w:cs="UtopiaStd-Regular"/>
          <w:kern w:val="0"/>
        </w:rPr>
        <w:t>At the same t</w:t>
      </w:r>
      <w:r w:rsidR="00400299">
        <w:rPr>
          <w:rFonts w:cs="UtopiaStd-Regular"/>
          <w:kern w:val="0"/>
        </w:rPr>
        <w:t xml:space="preserve">ime, funding for operations has </w:t>
      </w:r>
      <w:r w:rsidR="00400299" w:rsidRPr="00400299">
        <w:rPr>
          <w:rFonts w:cs="UtopiaStd-Regular"/>
          <w:kern w:val="0"/>
        </w:rPr>
        <w:t>endured deep cuts, forcing PHAs to forego critical maintenance functions and further jeopardizi</w:t>
      </w:r>
      <w:r w:rsidR="00400299">
        <w:rPr>
          <w:rFonts w:cs="UtopiaStd-Regular"/>
          <w:kern w:val="0"/>
        </w:rPr>
        <w:t xml:space="preserve">ng the long-term sustainability </w:t>
      </w:r>
      <w:r w:rsidR="00400299" w:rsidRPr="00400299">
        <w:rPr>
          <w:rFonts w:cs="UtopiaStd-Regular"/>
          <w:kern w:val="0"/>
        </w:rPr>
        <w:t>of many properties.</w:t>
      </w:r>
      <w:r w:rsidR="00AD0D40" w:rsidRPr="00992CA2">
        <w:rPr>
          <w:b/>
          <w:noProof/>
          <w:color w:val="00B050"/>
        </w:rPr>
        <w:t xml:space="preserve">  </w:t>
      </w:r>
    </w:p>
    <w:p w:rsidR="00AD0D40" w:rsidRPr="00992CA2" w:rsidRDefault="00AD0D40" w:rsidP="00AD0D40">
      <w:pPr>
        <w:autoSpaceDE w:val="0"/>
        <w:autoSpaceDN w:val="0"/>
        <w:adjustRightInd w:val="0"/>
        <w:spacing w:after="0" w:line="240" w:lineRule="auto"/>
        <w:rPr>
          <w:noProof/>
          <w:color w:val="029676" w:themeColor="accent4"/>
        </w:rPr>
      </w:pPr>
    </w:p>
    <w:p w:rsidR="007B287F" w:rsidRPr="00A3002E" w:rsidRDefault="00400299" w:rsidP="007B287F">
      <w:pPr>
        <w:rPr>
          <w:b/>
          <w:noProof/>
          <w:color w:val="0070C0"/>
        </w:rPr>
      </w:pPr>
      <w:r>
        <w:rPr>
          <w:b/>
          <w:noProof/>
          <w:color w:val="0070C0"/>
        </w:rPr>
        <w:t>Capital Fund</w:t>
      </w:r>
    </w:p>
    <w:p w:rsidR="00A82319" w:rsidRPr="00980463" w:rsidRDefault="00400299" w:rsidP="00400299">
      <w:pPr>
        <w:autoSpaceDE w:val="0"/>
        <w:autoSpaceDN w:val="0"/>
        <w:adjustRightInd w:val="0"/>
        <w:spacing w:after="0" w:line="240" w:lineRule="auto"/>
        <w:rPr>
          <w:rFonts w:cs="UtopiaStd-Regular"/>
          <w:kern w:val="0"/>
        </w:rPr>
      </w:pPr>
      <w:r w:rsidRPr="00980463">
        <w:rPr>
          <w:noProof/>
        </w:rPr>
        <w:t xml:space="preserve">Capital Funding is for non-routine maintenance and capital improvements to Public Housing rental properties.  Such improvesment could include window replacement, roofs, appliances, hot water heaters and boilers. </w:t>
      </w:r>
      <w:r w:rsidRPr="00980463">
        <w:rPr>
          <w:rFonts w:cs="UtopiaStd-Regular"/>
          <w:kern w:val="0"/>
        </w:rPr>
        <w:t>Capital Fund appropriations lag dangerously behind accruing modernization needs. PHAs must have broad access to tools that will allow them to streamline their operations, better serve resid</w:t>
      </w:r>
      <w:r w:rsidR="00980463" w:rsidRPr="00980463">
        <w:rPr>
          <w:rFonts w:cs="UtopiaStd-Regular"/>
          <w:kern w:val="0"/>
        </w:rPr>
        <w:t>ents</w:t>
      </w:r>
      <w:r w:rsidR="00980463">
        <w:rPr>
          <w:rFonts w:cs="UtopiaStd-Regular"/>
          <w:kern w:val="0"/>
        </w:rPr>
        <w:t xml:space="preserve">, </w:t>
      </w:r>
      <w:r w:rsidRPr="00980463">
        <w:rPr>
          <w:rFonts w:cs="UtopiaStd-Regular"/>
          <w:kern w:val="0"/>
        </w:rPr>
        <w:t>and tap into the value of their assets and leverage private capital.  Continued underfunding of this program has a huge impact on the health of entire communities</w:t>
      </w:r>
      <w:r>
        <w:rPr>
          <w:rFonts w:ascii="UtopiaStd-Regular" w:hAnsi="UtopiaStd-Regular" w:cs="UtopiaStd-Regular"/>
          <w:kern w:val="0"/>
          <w:sz w:val="21"/>
          <w:szCs w:val="21"/>
        </w:rPr>
        <w:t>.</w:t>
      </w:r>
      <w:r w:rsidR="00980463" w:rsidRPr="00980463">
        <w:rPr>
          <w:noProof/>
          <w:color w:val="252525"/>
          <w:bdr w:val="none" w:sz="0" w:space="0" w:color="auto" w:frame="1"/>
          <w:shd w:val="clear" w:color="auto" w:fill="FFFFFF"/>
        </w:rPr>
        <w:t xml:space="preserve"> </w:t>
      </w:r>
      <w:r w:rsidR="00980463">
        <w:rPr>
          <w:noProof/>
          <w:color w:val="2525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</w:t>
      </w:r>
    </w:p>
    <w:p w:rsidR="00D41CB4" w:rsidRDefault="00980463" w:rsidP="00400299">
      <w:pPr>
        <w:autoSpaceDE w:val="0"/>
        <w:autoSpaceDN w:val="0"/>
        <w:adjustRightInd w:val="0"/>
        <w:spacing w:after="0" w:line="240" w:lineRule="auto"/>
        <w:rPr>
          <w:rFonts w:ascii="UtopiaStd-Regular" w:hAnsi="UtopiaStd-Regular" w:cs="UtopiaStd-Regular"/>
          <w:kern w:val="0"/>
          <w:sz w:val="21"/>
          <w:szCs w:val="21"/>
        </w:rPr>
      </w:pPr>
      <w:r>
        <w:rPr>
          <w:rFonts w:ascii="UtopiaStd-Regular" w:hAnsi="UtopiaStd-Regular" w:cs="UtopiaStd-Regular"/>
          <w:kern w:val="0"/>
          <w:sz w:val="21"/>
          <w:szCs w:val="21"/>
        </w:rPr>
        <w:t xml:space="preserve">                                                  </w:t>
      </w:r>
      <w:r w:rsidR="002F6249">
        <w:rPr>
          <w:rFonts w:ascii="UtopiaStd-Regular" w:hAnsi="UtopiaStd-Regular" w:cs="UtopiaStd-Regular"/>
          <w:kern w:val="0"/>
          <w:sz w:val="21"/>
          <w:szCs w:val="21"/>
        </w:rPr>
        <w:t xml:space="preserve">                                                              </w:t>
      </w:r>
      <w:r>
        <w:rPr>
          <w:rFonts w:ascii="UtopiaStd-Regular" w:hAnsi="UtopiaStd-Regular" w:cs="UtopiaStd-Regular"/>
          <w:kern w:val="0"/>
          <w:sz w:val="21"/>
          <w:szCs w:val="21"/>
        </w:rPr>
        <w:t xml:space="preserve">   </w:t>
      </w:r>
    </w:p>
    <w:p w:rsidR="00400299" w:rsidRPr="00400299" w:rsidRDefault="00980463" w:rsidP="00D41CB4">
      <w:pPr>
        <w:autoSpaceDE w:val="0"/>
        <w:autoSpaceDN w:val="0"/>
        <w:adjustRightInd w:val="0"/>
        <w:spacing w:after="0" w:line="240" w:lineRule="auto"/>
        <w:ind w:left="1440"/>
        <w:jc w:val="both"/>
        <w:rPr>
          <w:rFonts w:ascii="UtopiaStd-Regular" w:hAnsi="UtopiaStd-Regular" w:cs="UtopiaStd-Regular"/>
          <w:kern w:val="0"/>
          <w:sz w:val="21"/>
          <w:szCs w:val="21"/>
        </w:rPr>
      </w:pPr>
      <w:r>
        <w:rPr>
          <w:rFonts w:ascii="UtopiaStd-Regular" w:hAnsi="UtopiaStd-Regular" w:cs="UtopiaStd-Regular"/>
          <w:kern w:val="0"/>
          <w:sz w:val="21"/>
          <w:szCs w:val="21"/>
        </w:rPr>
        <w:t xml:space="preserve">   </w:t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rFonts w:ascii="UtopiaStd-Regular" w:hAnsi="UtopiaStd-Regular" w:cs="UtopiaStd-Regular"/>
          <w:kern w:val="0"/>
          <w:sz w:val="21"/>
          <w:szCs w:val="21"/>
        </w:rPr>
        <w:tab/>
      </w:r>
      <w:r w:rsidR="00D41CB4">
        <w:rPr>
          <w:noProof/>
          <w:color w:val="252525"/>
          <w:bdr w:val="none" w:sz="0" w:space="0" w:color="auto" w:frame="1"/>
          <w:shd w:val="clear" w:color="auto" w:fill="FFFFFF"/>
        </w:rPr>
        <w:t xml:space="preserve"> </w:t>
      </w:r>
    </w:p>
    <w:p w:rsidR="00751253" w:rsidRPr="00D41CB4" w:rsidRDefault="0021648D">
      <w:pPr>
        <w:rPr>
          <w:noProof/>
          <w:color w:val="252525"/>
          <w:sz w:val="16"/>
          <w:szCs w:val="16"/>
          <w:bdr w:val="none" w:sz="0" w:space="0" w:color="auto" w:frame="1"/>
          <w:shd w:val="clear" w:color="auto" w:fill="FFFFFF"/>
        </w:rPr>
      </w:pPr>
      <w:r>
        <w:t xml:space="preserve"> </w:t>
      </w:r>
      <w:r>
        <w:rPr>
          <w:noProof/>
          <w:color w:val="252525"/>
          <w:bdr w:val="none" w:sz="0" w:space="0" w:color="auto" w:frame="1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751253">
        <w:rPr>
          <w:noProof/>
        </w:rPr>
        <w:tab/>
      </w:r>
      <w:r w:rsidR="00D41CB4">
        <w:rPr>
          <w:noProof/>
          <w:sz w:val="16"/>
          <w:szCs w:val="16"/>
        </w:rPr>
        <w:t>AGENCY LOGO HERE</w:t>
      </w:r>
      <w:r w:rsidRPr="00D41CB4">
        <w:rPr>
          <w:noProof/>
          <w:sz w:val="16"/>
          <w:szCs w:val="16"/>
        </w:rPr>
        <w:t xml:space="preserve">          </w:t>
      </w:r>
      <w:r w:rsidR="00751253" w:rsidRPr="00D41CB4">
        <w:rPr>
          <w:noProof/>
          <w:sz w:val="16"/>
          <w:szCs w:val="16"/>
        </w:rPr>
        <w:tab/>
      </w:r>
    </w:p>
    <w:sectPr w:rsidR="00751253" w:rsidRPr="00D41CB4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5942" w:rsidRDefault="003D5942">
      <w:pPr>
        <w:spacing w:after="0" w:line="240" w:lineRule="auto"/>
      </w:pPr>
      <w:r>
        <w:separator/>
      </w:r>
    </w:p>
  </w:endnote>
  <w:endnote w:type="continuationSeparator" w:id="0">
    <w:p w:rsidR="003D5942" w:rsidRDefault="003D5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topiaStd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5942" w:rsidRDefault="003D5942">
      <w:pPr>
        <w:spacing w:after="0" w:line="240" w:lineRule="auto"/>
      </w:pPr>
      <w:r>
        <w:separator/>
      </w:r>
    </w:p>
  </w:footnote>
  <w:footnote w:type="continuationSeparator" w:id="0">
    <w:p w:rsidR="003D5942" w:rsidRDefault="003D59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83C37"/>
    <w:multiLevelType w:val="hybridMultilevel"/>
    <w:tmpl w:val="8D7A2110"/>
    <w:lvl w:ilvl="0" w:tplc="B8F2B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78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472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B8A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42D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44A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0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F4B6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44D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84A5585"/>
    <w:multiLevelType w:val="hybridMultilevel"/>
    <w:tmpl w:val="0B52C462"/>
    <w:lvl w:ilvl="0" w:tplc="97EA8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A8D63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9C2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F98B0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FCEE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B4856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362B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1A0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14252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33C84CCF"/>
    <w:multiLevelType w:val="hybridMultilevel"/>
    <w:tmpl w:val="C554C886"/>
    <w:lvl w:ilvl="0" w:tplc="41061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DE6E5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780D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2840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5BE22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0C3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D860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C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9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7CD375FC"/>
    <w:multiLevelType w:val="hybridMultilevel"/>
    <w:tmpl w:val="6BD09BA2"/>
    <w:lvl w:ilvl="0" w:tplc="52D64A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C62CA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14BA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602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0BE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07F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B30F5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7A0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92AA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DBC"/>
    <w:rsid w:val="000511E6"/>
    <w:rsid w:val="00087855"/>
    <w:rsid w:val="000B4E99"/>
    <w:rsid w:val="0017097A"/>
    <w:rsid w:val="001C153E"/>
    <w:rsid w:val="0021648D"/>
    <w:rsid w:val="00232AD5"/>
    <w:rsid w:val="002F6249"/>
    <w:rsid w:val="003D5942"/>
    <w:rsid w:val="00400299"/>
    <w:rsid w:val="00414993"/>
    <w:rsid w:val="004A2A9B"/>
    <w:rsid w:val="004E675B"/>
    <w:rsid w:val="005351C9"/>
    <w:rsid w:val="00592D1A"/>
    <w:rsid w:val="006242FC"/>
    <w:rsid w:val="00751253"/>
    <w:rsid w:val="007B287F"/>
    <w:rsid w:val="00851DBC"/>
    <w:rsid w:val="008725C4"/>
    <w:rsid w:val="008956E6"/>
    <w:rsid w:val="00933526"/>
    <w:rsid w:val="00956FA8"/>
    <w:rsid w:val="00980463"/>
    <w:rsid w:val="009856E2"/>
    <w:rsid w:val="009926A7"/>
    <w:rsid w:val="00992CA2"/>
    <w:rsid w:val="009F1F9F"/>
    <w:rsid w:val="00A3002E"/>
    <w:rsid w:val="00A82319"/>
    <w:rsid w:val="00A852D7"/>
    <w:rsid w:val="00AA5110"/>
    <w:rsid w:val="00AD0D40"/>
    <w:rsid w:val="00C50C2A"/>
    <w:rsid w:val="00CA27BB"/>
    <w:rsid w:val="00D302C0"/>
    <w:rsid w:val="00D41CB4"/>
    <w:rsid w:val="00D458DD"/>
    <w:rsid w:val="00EE43AF"/>
    <w:rsid w:val="00EF64C9"/>
    <w:rsid w:val="00F24397"/>
    <w:rsid w:val="00F97F9E"/>
    <w:rsid w:val="00FB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886670-8B42-45B2-BDB4-7C6D95B06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3E762A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3E762A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3E762A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3E762A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3E762A" w:themeColor="accent1" w:themeShade="BF"/>
        <w:bottom w:val="single" w:sz="6" w:space="4" w:color="3E762A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3E762A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3E762A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E762A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3E762A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3E762A" w:themeColor="accent1" w:themeShade="BF"/>
        <w:bottom w:val="single" w:sz="4" w:space="10" w:color="3E762A" w:themeColor="accent1" w:themeShade="BF"/>
      </w:pBdr>
      <w:spacing w:before="360" w:after="360"/>
      <w:ind w:left="864" w:right="864"/>
      <w:jc w:val="center"/>
    </w:pPr>
    <w:rPr>
      <w:i/>
      <w:iCs/>
      <w:color w:val="3E762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3E762A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3E762A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ListParagraph">
    <w:name w:val="List Paragraph"/>
    <w:basedOn w:val="Normal"/>
    <w:uiPriority w:val="34"/>
    <w:qFormat/>
    <w:rsid w:val="000B4E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table" w:styleId="GridTable3-Accent4">
    <w:name w:val="Grid Table 3 Accent 4"/>
    <w:basedOn w:val="TableNormal"/>
    <w:uiPriority w:val="48"/>
    <w:rsid w:val="00992CA2"/>
    <w:pPr>
      <w:spacing w:after="0" w:line="240" w:lineRule="auto"/>
    </w:pPr>
    <w:tblPr>
      <w:tblStyleRowBandSize w:val="1"/>
      <w:tblStyleColBandSize w:val="1"/>
      <w:tblBorders>
        <w:top w:val="single" w:sz="4" w:space="0" w:color="2AFCCE" w:themeColor="accent4" w:themeTint="99"/>
        <w:left w:val="single" w:sz="4" w:space="0" w:color="2AFCCE" w:themeColor="accent4" w:themeTint="99"/>
        <w:bottom w:val="single" w:sz="4" w:space="0" w:color="2AFCCE" w:themeColor="accent4" w:themeTint="99"/>
        <w:right w:val="single" w:sz="4" w:space="0" w:color="2AFCCE" w:themeColor="accent4" w:themeTint="99"/>
        <w:insideH w:val="single" w:sz="4" w:space="0" w:color="2AFCCE" w:themeColor="accent4" w:themeTint="99"/>
        <w:insideV w:val="single" w:sz="4" w:space="0" w:color="2AFCC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8FEEE" w:themeFill="accent4" w:themeFillTint="33"/>
      </w:tcPr>
    </w:tblStylePr>
    <w:tblStylePr w:type="band1Horz">
      <w:tblPr/>
      <w:tcPr>
        <w:shd w:val="clear" w:color="auto" w:fill="B8FEEE" w:themeFill="accent4" w:themeFillTint="33"/>
      </w:tcPr>
    </w:tblStylePr>
    <w:tblStylePr w:type="neCell">
      <w:tblPr/>
      <w:tcPr>
        <w:tcBorders>
          <w:bottom w:val="single" w:sz="4" w:space="0" w:color="2AFCCE" w:themeColor="accent4" w:themeTint="99"/>
        </w:tcBorders>
      </w:tcPr>
    </w:tblStylePr>
    <w:tblStylePr w:type="nwCell">
      <w:tblPr/>
      <w:tcPr>
        <w:tcBorders>
          <w:bottom w:val="single" w:sz="4" w:space="0" w:color="2AFCCE" w:themeColor="accent4" w:themeTint="99"/>
        </w:tcBorders>
      </w:tcPr>
    </w:tblStylePr>
    <w:tblStylePr w:type="seCell">
      <w:tblPr/>
      <w:tcPr>
        <w:tcBorders>
          <w:top w:val="single" w:sz="4" w:space="0" w:color="2AFCCE" w:themeColor="accent4" w:themeTint="99"/>
        </w:tcBorders>
      </w:tcPr>
    </w:tblStylePr>
    <w:tblStylePr w:type="swCell">
      <w:tblPr/>
      <w:tcPr>
        <w:tcBorders>
          <w:top w:val="single" w:sz="4" w:space="0" w:color="2AFCCE" w:themeColor="accent4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992CA2"/>
    <w:pPr>
      <w:spacing w:after="0" w:line="240" w:lineRule="auto"/>
    </w:pPr>
    <w:tblPr>
      <w:tblStyleRowBandSize w:val="1"/>
      <w:tblStyleColBandSize w:val="1"/>
      <w:tblBorders>
        <w:top w:val="single" w:sz="4" w:space="0" w:color="D9E288" w:themeColor="accent3" w:themeTint="99"/>
        <w:left w:val="single" w:sz="4" w:space="0" w:color="D9E288" w:themeColor="accent3" w:themeTint="99"/>
        <w:bottom w:val="single" w:sz="4" w:space="0" w:color="D9E288" w:themeColor="accent3" w:themeTint="99"/>
        <w:right w:val="single" w:sz="4" w:space="0" w:color="D9E288" w:themeColor="accent3" w:themeTint="99"/>
        <w:insideH w:val="single" w:sz="4" w:space="0" w:color="D9E288" w:themeColor="accent3" w:themeTint="99"/>
        <w:insideV w:val="single" w:sz="4" w:space="0" w:color="D9E28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CF3A" w:themeColor="accent3"/>
          <w:left w:val="single" w:sz="4" w:space="0" w:color="C0CF3A" w:themeColor="accent3"/>
          <w:bottom w:val="single" w:sz="4" w:space="0" w:color="C0CF3A" w:themeColor="accent3"/>
          <w:right w:val="single" w:sz="4" w:space="0" w:color="C0CF3A" w:themeColor="accent3"/>
          <w:insideH w:val="nil"/>
          <w:insideV w:val="nil"/>
        </w:tcBorders>
        <w:shd w:val="clear" w:color="auto" w:fill="C0CF3A" w:themeFill="accent3"/>
      </w:tcPr>
    </w:tblStylePr>
    <w:tblStylePr w:type="lastRow">
      <w:rPr>
        <w:b/>
        <w:bCs/>
      </w:rPr>
      <w:tblPr/>
      <w:tcPr>
        <w:tcBorders>
          <w:top w:val="double" w:sz="4" w:space="0" w:color="C0CF3A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5D7" w:themeFill="accent3" w:themeFillTint="33"/>
      </w:tcPr>
    </w:tblStylePr>
    <w:tblStylePr w:type="band1Horz">
      <w:tblPr/>
      <w:tcPr>
        <w:shd w:val="clear" w:color="auto" w:fill="F2F5D7" w:themeFill="accent3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3002E"/>
    <w:pPr>
      <w:spacing w:after="0" w:line="240" w:lineRule="auto"/>
    </w:pPr>
    <w:rPr>
      <w:color w:val="066684" w:themeColor="accent6" w:themeShade="BF"/>
    </w:rPr>
    <w:tblPr>
      <w:tblStyleRowBandSize w:val="1"/>
      <w:tblStyleColBandSize w:val="1"/>
      <w:tblBorders>
        <w:top w:val="single" w:sz="4" w:space="0" w:color="45CBF5" w:themeColor="accent6" w:themeTint="99"/>
        <w:left w:val="single" w:sz="4" w:space="0" w:color="45CBF5" w:themeColor="accent6" w:themeTint="99"/>
        <w:bottom w:val="single" w:sz="4" w:space="0" w:color="45CBF5" w:themeColor="accent6" w:themeTint="99"/>
        <w:right w:val="single" w:sz="4" w:space="0" w:color="45CBF5" w:themeColor="accent6" w:themeTint="99"/>
        <w:insideH w:val="single" w:sz="4" w:space="0" w:color="45CBF5" w:themeColor="accent6" w:themeTint="99"/>
        <w:insideV w:val="single" w:sz="4" w:space="0" w:color="45CBF5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CBF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CBF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EDFC" w:themeFill="accent6" w:themeFillTint="33"/>
      </w:tcPr>
    </w:tblStylePr>
    <w:tblStylePr w:type="band1Horz">
      <w:tblPr/>
      <w:tcPr>
        <w:shd w:val="clear" w:color="auto" w:fill="C1EDFC" w:themeFill="accent6" w:themeFillTint="33"/>
      </w:tcPr>
    </w:tblStylePr>
  </w:style>
  <w:style w:type="character" w:customStyle="1" w:styleId="apple-converted-space">
    <w:name w:val="apple-converted-space"/>
    <w:basedOn w:val="DefaultParagraphFont"/>
    <w:rsid w:val="00C50C2A"/>
  </w:style>
  <w:style w:type="paragraph" w:styleId="NormalWeb">
    <w:name w:val="Normal (Web)"/>
    <w:basedOn w:val="Normal"/>
    <w:uiPriority w:val="99"/>
    <w:unhideWhenUsed/>
    <w:rsid w:val="004A2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customStyle="1" w:styleId="ff-bold-condensed">
    <w:name w:val="ff-bold-condensed"/>
    <w:basedOn w:val="DefaultParagraphFont"/>
    <w:rsid w:val="004A2A9B"/>
  </w:style>
  <w:style w:type="paragraph" w:styleId="NoSpacing">
    <w:name w:val="No Spacing"/>
    <w:uiPriority w:val="1"/>
    <w:qFormat/>
    <w:rsid w:val="004A2A9B"/>
    <w:pPr>
      <w:spacing w:after="0" w:line="240" w:lineRule="auto"/>
    </w:pPr>
  </w:style>
  <w:style w:type="table" w:styleId="GridTable7Colorful">
    <w:name w:val="Grid Table 7 Colorful"/>
    <w:basedOn w:val="TableNormal"/>
    <w:uiPriority w:val="52"/>
    <w:rsid w:val="00592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6Colorful">
    <w:name w:val="Grid Table 6 Colorful"/>
    <w:basedOn w:val="TableNormal"/>
    <w:uiPriority w:val="51"/>
    <w:rsid w:val="00592D1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92D1A"/>
    <w:pPr>
      <w:spacing w:after="0" w:line="240" w:lineRule="auto"/>
    </w:pPr>
    <w:rPr>
      <w:color w:val="318B98" w:themeColor="accent5" w:themeShade="BF"/>
    </w:rPr>
    <w:tblPr>
      <w:tblStyleRowBandSize w:val="1"/>
      <w:tblStyleColBandSize w:val="1"/>
      <w:tblBorders>
        <w:top w:val="single" w:sz="4" w:space="0" w:color="92D2DB" w:themeColor="accent5" w:themeTint="99"/>
        <w:left w:val="single" w:sz="4" w:space="0" w:color="92D2DB" w:themeColor="accent5" w:themeTint="99"/>
        <w:bottom w:val="single" w:sz="4" w:space="0" w:color="92D2DB" w:themeColor="accent5" w:themeTint="99"/>
        <w:right w:val="single" w:sz="4" w:space="0" w:color="92D2DB" w:themeColor="accent5" w:themeTint="99"/>
        <w:insideH w:val="single" w:sz="4" w:space="0" w:color="92D2DB" w:themeColor="accent5" w:themeTint="99"/>
        <w:insideV w:val="single" w:sz="4" w:space="0" w:color="92D2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D2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D2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F0F3" w:themeFill="accent5" w:themeFillTint="33"/>
      </w:tcPr>
    </w:tblStylePr>
    <w:tblStylePr w:type="band1Horz">
      <w:tblPr/>
      <w:tcPr>
        <w:shd w:val="clear" w:color="auto" w:fill="DAF0F3" w:themeFill="accent5" w:themeFillTint="33"/>
      </w:tcPr>
    </w:tblStylePr>
  </w:style>
  <w:style w:type="table" w:styleId="PlainTable1">
    <w:name w:val="Plain Table 1"/>
    <w:basedOn w:val="TableNormal"/>
    <w:uiPriority w:val="41"/>
    <w:rsid w:val="00592D1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342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096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86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230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7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83018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45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9623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4002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3711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6975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5686">
          <w:marLeft w:val="53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7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8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489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69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0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0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4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2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60768">
          <w:marLeft w:val="51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79314">
          <w:marLeft w:val="12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0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oghjr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781AB-AA32-4C21-82DF-6BBD7A18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Newsletter.dotx</Template>
  <TotalTime>1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Keogh</dc:creator>
  <cp:keywords/>
  <cp:lastModifiedBy>Cheryl Anne Farmer</cp:lastModifiedBy>
  <cp:revision>2</cp:revision>
  <cp:lastPrinted>2012-08-02T20:18:00Z</cp:lastPrinted>
  <dcterms:created xsi:type="dcterms:W3CDTF">2019-03-05T15:24:00Z</dcterms:created>
  <dcterms:modified xsi:type="dcterms:W3CDTF">2019-03-05T15:24:00Z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